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4A2EB4" w:rsidRPr="0093608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2A13E0">
        <w:rPr>
          <w:rFonts w:ascii="Times New Roman" w:hAnsi="Times New Roman" w:cs="Times New Roman"/>
          <w:b/>
          <w:sz w:val="28"/>
          <w:szCs w:val="28"/>
          <w:lang w:val="ru-RU"/>
        </w:rPr>
        <w:t>сентябр</w:t>
      </w:r>
      <w:r w:rsidR="00EE2DA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1260"/>
        <w:gridCol w:w="1923"/>
      </w:tblGrid>
      <w:tr w:rsidR="00D07C71" w:rsidRPr="00FC3169" w:rsidTr="003D0B02">
        <w:trPr>
          <w:trHeight w:val="313"/>
          <w:tblHeader/>
          <w:jc w:val="center"/>
        </w:trPr>
        <w:tc>
          <w:tcPr>
            <w:tcW w:w="6691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EE2DAC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2A13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сентябрь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EE2DAC">
        <w:trPr>
          <w:trHeight w:val="632"/>
          <w:tblHeader/>
          <w:jc w:val="center"/>
        </w:trPr>
        <w:tc>
          <w:tcPr>
            <w:tcW w:w="6691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в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EE2DAC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к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2A13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сентябрю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2A3B19" w:rsidP="00F421D3">
            <w:pPr>
              <w:spacing w:after="0" w:line="228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2A3B19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11480597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56,5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2A3B19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A3B19">
              <w:rPr>
                <w:rFonts w:ascii="Times New Roman" w:hAnsi="Times New Roman"/>
                <w:sz w:val="23"/>
                <w:szCs w:val="23"/>
                <w:lang w:val="ru-RU"/>
              </w:rPr>
              <w:t>1390982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128,5</w:t>
            </w:r>
          </w:p>
        </w:tc>
      </w:tr>
      <w:tr w:rsidR="00F421D3" w:rsidRPr="00EB649A" w:rsidTr="007635D5">
        <w:trPr>
          <w:trHeight w:val="226"/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2A3B19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A3B19">
              <w:rPr>
                <w:rFonts w:ascii="Times New Roman" w:hAnsi="Times New Roman"/>
                <w:sz w:val="23"/>
                <w:szCs w:val="23"/>
                <w:lang w:val="ru-RU"/>
              </w:rPr>
              <w:t>4471221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595,5</w:t>
            </w:r>
          </w:p>
        </w:tc>
      </w:tr>
      <w:tr w:rsidR="00F421D3" w:rsidRPr="00EB649A" w:rsidTr="003D0B02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 xml:space="preserve">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214914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7342700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187,6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-2350255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-736138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F421D3">
        <w:trPr>
          <w:trHeight w:val="258"/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2796941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6129484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107,9</w:t>
            </w:r>
          </w:p>
        </w:tc>
      </w:tr>
      <w:tr w:rsidR="00F421D3" w:rsidRPr="00EB649A" w:rsidTr="003708D4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21D3" w:rsidRPr="00EB649A" w:rsidTr="00193D6D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F421D3">
            <w:pPr>
              <w:spacing w:after="0" w:line="228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F421D3" w:rsidRPr="00FC3169" w:rsidRDefault="00F421D3" w:rsidP="00F421D3">
            <w:pPr>
              <w:spacing w:after="0" w:line="228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333292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127,4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2465763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120,0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F421D3">
            <w:pPr>
              <w:spacing w:after="0" w:line="228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F421D3" w:rsidRPr="00FC3169" w:rsidRDefault="00F421D3" w:rsidP="00F421D3">
            <w:pPr>
              <w:spacing w:after="0" w:line="228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3330429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99,0</w:t>
            </w:r>
          </w:p>
        </w:tc>
      </w:tr>
      <w:tr w:rsidR="00F421D3" w:rsidRPr="00EB649A" w:rsidTr="004518DC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E6D28" w:rsidRPr="00F42C2B" w:rsidRDefault="00DE6D28" w:rsidP="00DE6D28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-5029145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E6D28" w:rsidRPr="00F42C2B" w:rsidRDefault="00DE6D28" w:rsidP="00DE6D28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275793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11,0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54326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221,9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252565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70,9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462341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10,2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181686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159,6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95115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56,4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  <w:vertAlign w:val="subscript"/>
              </w:rPr>
              <w:t>...</w:t>
            </w:r>
            <w:r w:rsidRPr="00F421D3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90,0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99512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142,5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277594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9,1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в области культуры, спорта, </w:t>
            </w:r>
          </w:p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  <w:vertAlign w:val="subscript"/>
              </w:rPr>
              <w:t>...</w:t>
            </w:r>
            <w:r w:rsidRPr="00F421D3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35,0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E6D28">
              <w:rPr>
                <w:rFonts w:ascii="Times New Roman" w:hAnsi="Times New Roman"/>
                <w:sz w:val="23"/>
                <w:szCs w:val="23"/>
                <w:lang w:val="ru-RU"/>
              </w:rPr>
              <w:t>17701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85,1</w:t>
            </w:r>
          </w:p>
        </w:tc>
      </w:tr>
      <w:tr w:rsidR="00F421D3" w:rsidRPr="00FC3169" w:rsidTr="003D0B02">
        <w:trPr>
          <w:trHeight w:val="1401"/>
          <w:jc w:val="center"/>
        </w:trPr>
        <w:tc>
          <w:tcPr>
            <w:tcW w:w="9874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F421D3" w:rsidRPr="00FC3169" w:rsidRDefault="00F421D3" w:rsidP="00F42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)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421D3" w:rsidRPr="00FC3169" w:rsidRDefault="00F421D3" w:rsidP="00F42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F421D3" w:rsidRPr="002D4648" w:rsidRDefault="00F421D3" w:rsidP="00F42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2</w:t>
            </w:r>
            <w:r w:rsidRPr="00FC316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</w:rPr>
              <w:t>)</w:t>
            </w:r>
            <w:r w:rsidRPr="00610D27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10D27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3D0B02">
      <w:pPr>
        <w:pStyle w:val="a9"/>
        <w:spacing w:after="0" w:line="235" w:lineRule="auto"/>
        <w:ind w:left="-142" w:right="-142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proofErr w:type="gramStart"/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lastRenderedPageBreak/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</w:t>
      </w:r>
      <w:proofErr w:type="gramEnd"/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 xml:space="preserve">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3D0B02">
      <w:pPr>
        <w:spacing w:after="0" w:line="235" w:lineRule="auto"/>
        <w:ind w:left="-142" w:right="-14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proofErr w:type="gramStart"/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в</w:t>
      </w:r>
      <w:proofErr w:type="gramEnd"/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4A2EB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2A13E0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сентябр</w:t>
      </w:r>
      <w:r w:rsidR="00EE2DA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удельный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к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2A13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сентябрю</w:t>
            </w:r>
          </w:p>
          <w:p w:rsidR="00D07C71" w:rsidRPr="00FC3169" w:rsidRDefault="00255792" w:rsidP="00997796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F421D3" w:rsidRPr="00624B33" w:rsidTr="002A13E0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64,4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24280314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79,5</w:t>
            </w:r>
          </w:p>
        </w:tc>
      </w:tr>
      <w:tr w:rsidR="00F421D3" w:rsidRPr="00624B33" w:rsidTr="002A13E0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1653074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135,0</w:t>
            </w:r>
          </w:p>
        </w:tc>
      </w:tr>
      <w:tr w:rsidR="00F421D3" w:rsidRPr="00624B33" w:rsidTr="002A13E0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65,4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8872476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158,0</w:t>
            </w:r>
          </w:p>
        </w:tc>
      </w:tr>
      <w:tr w:rsidR="00F421D3" w:rsidRPr="00624B33" w:rsidTr="002A13E0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2A13E0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764967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182,5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7501071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166,1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электрической энергией, газом </w:t>
            </w:r>
          </w:p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E6D28" w:rsidRPr="00F42C2B" w:rsidRDefault="00DE6D28" w:rsidP="00DE6D28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DE6D28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552270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99,1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54168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44,5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2922153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604,2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6332098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105,5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333292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127,4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2541975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120,0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3456831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95,4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505069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9,3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967396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36,1</w:t>
            </w:r>
          </w:p>
        </w:tc>
      </w:tr>
      <w:tr w:rsidR="00F421D3" w:rsidRPr="00624B33" w:rsidTr="002A13E0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74432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51,6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252565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70,9</w:t>
            </w:r>
          </w:p>
        </w:tc>
      </w:tr>
      <w:tr w:rsidR="00F421D3" w:rsidRPr="00624B33" w:rsidTr="002A13E0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1418450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28,3</w:t>
            </w:r>
          </w:p>
        </w:tc>
      </w:tr>
      <w:tr w:rsidR="00F421D3" w:rsidRPr="00624B33" w:rsidTr="002A13E0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DE6D28" w:rsidP="00F42C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D28">
              <w:rPr>
                <w:rFonts w:ascii="Times New Roman" w:hAnsi="Times New Roman"/>
                <w:sz w:val="24"/>
                <w:szCs w:val="24"/>
              </w:rPr>
              <w:t>214805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122,9</w:t>
            </w:r>
          </w:p>
        </w:tc>
      </w:tr>
      <w:tr w:rsidR="00F421D3" w:rsidRPr="00624B33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114857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61,5</w:t>
            </w:r>
          </w:p>
        </w:tc>
      </w:tr>
      <w:tr w:rsidR="00F421D3" w:rsidRPr="00624B33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90,0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3B6AC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142,6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E6D2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28">
              <w:rPr>
                <w:rFonts w:ascii="Times New Roman" w:hAnsi="Times New Roman"/>
                <w:sz w:val="24"/>
                <w:szCs w:val="24"/>
                <w:lang w:val="ru-RU"/>
              </w:rPr>
              <w:t>820423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35,0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BB5F56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F42C2B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79,1</w:t>
            </w:r>
          </w:p>
        </w:tc>
      </w:tr>
      <w:tr w:rsidR="00F421D3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F421D3" w:rsidRPr="003E5F6C" w:rsidRDefault="00F421D3" w:rsidP="00F421D3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lastRenderedPageBreak/>
              <w:t>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E3809" w:rsidRPr="00297C83" w:rsidRDefault="006E3809" w:rsidP="00DC4D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DC4D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proofErr w:type="gramStart"/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в</w:t>
      </w:r>
      <w:proofErr w:type="gramEnd"/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A0F4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2A13E0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сентябр</w:t>
      </w:r>
      <w:r w:rsidR="00EE2DA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DC4D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DC4D3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DC4D3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E97344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E97344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E9734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E97344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удельный</w:t>
            </w:r>
            <w:proofErr w:type="gramEnd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5164B6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3C03A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EE2DAC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к</w:t>
            </w:r>
            <w:proofErr w:type="gramEnd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A0F4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2A13E0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сентябрю</w:t>
            </w:r>
          </w:p>
          <w:p w:rsidR="00D07C71" w:rsidRPr="004D57A9" w:rsidRDefault="00997796" w:rsidP="00001851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3B6AC8" w:rsidRPr="00624B33" w:rsidTr="002A13E0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8A426F" w:rsidRDefault="003B6AC8" w:rsidP="003B6A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35,6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12799717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125,0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262092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185,5</w:t>
            </w: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D20FE5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3B6AC8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4401255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D20FE5" w:rsidRDefault="00D20FE5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90,5</w:t>
            </w: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3B6AC8">
            <w:pPr>
              <w:spacing w:after="0" w:line="233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550053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33,4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3B6AC8">
            <w:pPr>
              <w:spacing w:after="0" w:line="233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B84A4E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158371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26,3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3B6AC8">
            <w:pPr>
              <w:spacing w:after="0" w:line="233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электрической энергией, газом</w:t>
            </w:r>
          </w:p>
          <w:p w:rsidR="003B6AC8" w:rsidRPr="00EE2DAC" w:rsidRDefault="003B6AC8" w:rsidP="003B6AC8">
            <w:pPr>
              <w:spacing w:after="0" w:line="233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2902525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120,9</w:t>
            </w:r>
          </w:p>
        </w:tc>
      </w:tr>
      <w:tr w:rsidR="003B6AC8" w:rsidRPr="00624B33" w:rsidTr="002A13E0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790306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366,8</w:t>
            </w:r>
          </w:p>
        </w:tc>
      </w:tr>
      <w:tr w:rsidR="003B6AC8" w:rsidRPr="00624B33" w:rsidTr="002A13E0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  <w:t>125212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22,9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202614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63,2</w:t>
            </w: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D20FE5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D20FE5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D20FE5" w:rsidRDefault="00D20FE5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76212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120,0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126402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49,1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5534214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160,9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691603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381,8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16,8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956109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202,6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54,4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110,2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A4B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 w:rsidRPr="004D7A4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144,7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542829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832,7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в области культуры, спорта, </w:t>
            </w: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lastRenderedPageBreak/>
              <w:t>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624B33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AC8" w:rsidRPr="00624B33" w:rsidTr="002A13E0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3B6AC8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lastRenderedPageBreak/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8" w:rsidRPr="00BB5F56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A4B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 w:rsidRPr="004D7A4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6AC8" w:rsidRPr="00EB41D4" w:rsidRDefault="003B6AC8" w:rsidP="003B6A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59,8</w:t>
            </w:r>
          </w:p>
        </w:tc>
      </w:tr>
      <w:tr w:rsidR="00D20FE5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20FE5" w:rsidRPr="003E5F6C" w:rsidRDefault="00D20FE5" w:rsidP="00D20F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BA2CE8" w:rsidRDefault="00BA2CE8" w:rsidP="002A13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AB" w:rsidRDefault="00B54AAB" w:rsidP="00613A1E">
      <w:pPr>
        <w:spacing w:after="0" w:line="240" w:lineRule="auto"/>
      </w:pPr>
      <w:r>
        <w:separator/>
      </w:r>
    </w:p>
  </w:endnote>
  <w:endnote w:type="continuationSeparator" w:id="0">
    <w:p w:rsidR="00B54AAB" w:rsidRDefault="00B54AAB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A7" w:rsidRDefault="002675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A7" w:rsidRDefault="002675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A7" w:rsidRDefault="002675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AB" w:rsidRDefault="00B54AAB" w:rsidP="00613A1E">
      <w:pPr>
        <w:spacing w:after="0" w:line="240" w:lineRule="auto"/>
      </w:pPr>
      <w:r>
        <w:separator/>
      </w:r>
    </w:p>
  </w:footnote>
  <w:footnote w:type="continuationSeparator" w:id="0">
    <w:p w:rsidR="00B54AAB" w:rsidRDefault="00B54AAB" w:rsidP="0061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A7" w:rsidRDefault="002675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A7" w:rsidRDefault="002675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A7" w:rsidRDefault="002675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F19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1061"/>
    <w:rsid w:val="000942E4"/>
    <w:rsid w:val="000A0CCF"/>
    <w:rsid w:val="000A3C25"/>
    <w:rsid w:val="000A3EF9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34C9"/>
    <w:rsid w:val="00165072"/>
    <w:rsid w:val="001675EB"/>
    <w:rsid w:val="00173C8A"/>
    <w:rsid w:val="001808D9"/>
    <w:rsid w:val="00180B8C"/>
    <w:rsid w:val="0018214D"/>
    <w:rsid w:val="001826EC"/>
    <w:rsid w:val="00184593"/>
    <w:rsid w:val="00184BBD"/>
    <w:rsid w:val="00185972"/>
    <w:rsid w:val="0019080B"/>
    <w:rsid w:val="00193D6D"/>
    <w:rsid w:val="0019450E"/>
    <w:rsid w:val="0019741B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2CA5"/>
    <w:rsid w:val="001F4738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2CFA"/>
    <w:rsid w:val="003635FC"/>
    <w:rsid w:val="00366BC7"/>
    <w:rsid w:val="00367524"/>
    <w:rsid w:val="003708D4"/>
    <w:rsid w:val="00372AB1"/>
    <w:rsid w:val="00376429"/>
    <w:rsid w:val="003772F5"/>
    <w:rsid w:val="003773FE"/>
    <w:rsid w:val="00377B71"/>
    <w:rsid w:val="00380147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603C"/>
    <w:rsid w:val="003D0B02"/>
    <w:rsid w:val="003D214F"/>
    <w:rsid w:val="003E0960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F0201"/>
    <w:rsid w:val="004F65EA"/>
    <w:rsid w:val="004F6A67"/>
    <w:rsid w:val="00501264"/>
    <w:rsid w:val="005017FF"/>
    <w:rsid w:val="005023A1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964"/>
    <w:rsid w:val="00610D27"/>
    <w:rsid w:val="0061390A"/>
    <w:rsid w:val="00613A1E"/>
    <w:rsid w:val="00614B77"/>
    <w:rsid w:val="00614D57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957"/>
    <w:rsid w:val="006375F3"/>
    <w:rsid w:val="0064046D"/>
    <w:rsid w:val="006407BF"/>
    <w:rsid w:val="00645AB1"/>
    <w:rsid w:val="00647BA2"/>
    <w:rsid w:val="00650041"/>
    <w:rsid w:val="00653158"/>
    <w:rsid w:val="00660730"/>
    <w:rsid w:val="00662A59"/>
    <w:rsid w:val="00667937"/>
    <w:rsid w:val="00673583"/>
    <w:rsid w:val="00673691"/>
    <w:rsid w:val="00673907"/>
    <w:rsid w:val="0067390C"/>
    <w:rsid w:val="00680A60"/>
    <w:rsid w:val="00685625"/>
    <w:rsid w:val="006921C5"/>
    <w:rsid w:val="00693149"/>
    <w:rsid w:val="00697231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5B58"/>
    <w:rsid w:val="007F6D13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6F95"/>
    <w:rsid w:val="008E057F"/>
    <w:rsid w:val="008E2163"/>
    <w:rsid w:val="008E3D0B"/>
    <w:rsid w:val="008E4050"/>
    <w:rsid w:val="008F0A3E"/>
    <w:rsid w:val="008F3D71"/>
    <w:rsid w:val="008F4134"/>
    <w:rsid w:val="008F73B6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6FBF"/>
    <w:rsid w:val="009E7438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6525"/>
    <w:rsid w:val="00A57C64"/>
    <w:rsid w:val="00A613A9"/>
    <w:rsid w:val="00A62C39"/>
    <w:rsid w:val="00A635BC"/>
    <w:rsid w:val="00A64F65"/>
    <w:rsid w:val="00A66198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C0562"/>
    <w:rsid w:val="00AC28EF"/>
    <w:rsid w:val="00AC603B"/>
    <w:rsid w:val="00AC793A"/>
    <w:rsid w:val="00AC7C36"/>
    <w:rsid w:val="00AD027A"/>
    <w:rsid w:val="00AD3B4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D12"/>
    <w:rsid w:val="00B0012B"/>
    <w:rsid w:val="00B02B02"/>
    <w:rsid w:val="00B02C10"/>
    <w:rsid w:val="00B10712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9065E"/>
    <w:rsid w:val="00B90E4D"/>
    <w:rsid w:val="00B92DCF"/>
    <w:rsid w:val="00B95B37"/>
    <w:rsid w:val="00B965B6"/>
    <w:rsid w:val="00B97CF6"/>
    <w:rsid w:val="00B97F78"/>
    <w:rsid w:val="00BA2CE8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DF7"/>
    <w:rsid w:val="00C50E2C"/>
    <w:rsid w:val="00C519BB"/>
    <w:rsid w:val="00C51CA7"/>
    <w:rsid w:val="00C54225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34A0"/>
    <w:rsid w:val="00E97344"/>
    <w:rsid w:val="00EA4014"/>
    <w:rsid w:val="00EA480D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F0219"/>
    <w:rsid w:val="00FF37D0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9792-6BC3-4EDD-B375-274BDCB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5128</Words>
  <Characters>2923</Characters>
  <Application>Microsoft Office Word</Application>
  <DocSecurity>0</DocSecurity>
  <Lines>24</Lines>
  <Paragraphs>16</Paragraphs>
  <ScaleCrop>false</ScaleCrop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2022-11-30T07:09:00Z</dcterms:created>
  <dcterms:modified xsi:type="dcterms:W3CDTF">2022-11-30T07:09:00Z</dcterms:modified>
</cp:coreProperties>
</file>